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7B" w:rsidRPr="00A5708C" w:rsidRDefault="00371E7B" w:rsidP="00371E7B">
      <w:pPr>
        <w:widowControl w:val="0"/>
        <w:tabs>
          <w:tab w:val="left" w:pos="1134"/>
          <w:tab w:val="left" w:pos="1759"/>
          <w:tab w:val="left" w:pos="3294"/>
          <w:tab w:val="left" w:pos="4437"/>
          <w:tab w:val="left" w:pos="6607"/>
          <w:tab w:val="left" w:pos="7982"/>
        </w:tabs>
        <w:autoSpaceDE w:val="0"/>
        <w:autoSpaceDN w:val="0"/>
        <w:adjustRightInd w:val="0"/>
        <w:ind w:firstLine="567"/>
        <w:jc w:val="center"/>
        <w:rPr>
          <w:rFonts w:ascii="Times New Roman" w:eastAsia="Times New Roman" w:hAnsi="Times New Roman" w:cs="Times New Roman"/>
          <w:b/>
          <w:kern w:val="1"/>
          <w:sz w:val="28"/>
          <w:szCs w:val="28"/>
        </w:rPr>
      </w:pPr>
      <w:r w:rsidRPr="00A5708C">
        <w:rPr>
          <w:rFonts w:ascii="Times New Roman" w:eastAsia="Times New Roman" w:hAnsi="Times New Roman" w:cs="Times New Roman"/>
          <w:b/>
          <w:kern w:val="1"/>
          <w:sz w:val="28"/>
          <w:szCs w:val="28"/>
        </w:rPr>
        <w:t>Перечень индивидуальных достижений поступающих, учитываемых при приеме, и порядок учета указанных достижений</w:t>
      </w:r>
    </w:p>
    <w:p w:rsidR="00371E7B" w:rsidRPr="00A5708C" w:rsidRDefault="00371E7B" w:rsidP="00371E7B">
      <w:pPr>
        <w:widowControl w:val="0"/>
        <w:tabs>
          <w:tab w:val="left" w:pos="1134"/>
          <w:tab w:val="left" w:pos="1759"/>
          <w:tab w:val="left" w:pos="3294"/>
          <w:tab w:val="left" w:pos="4437"/>
          <w:tab w:val="left" w:pos="6607"/>
          <w:tab w:val="left" w:pos="7982"/>
        </w:tabs>
        <w:autoSpaceDE w:val="0"/>
        <w:autoSpaceDN w:val="0"/>
        <w:adjustRightInd w:val="0"/>
        <w:ind w:firstLine="567"/>
        <w:jc w:val="center"/>
        <w:rPr>
          <w:rFonts w:ascii="Times New Roman" w:eastAsia="Times New Roman" w:hAnsi="Times New Roman" w:cs="Times New Roman"/>
          <w:b/>
          <w:kern w:val="1"/>
          <w:sz w:val="28"/>
          <w:szCs w:val="28"/>
        </w:rPr>
      </w:pPr>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Поступающие на обучение в ГУЗ вправе представить сведения о своих индивидуальных достижениях, результаты которых учитываются при приеме на обучение. 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w:t>
      </w:r>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ab/>
        <w:t>При приеме на обучение по программам бакалавриата, программам специалитета, программам магистратуры поступающему может быть начислено за индивидуальные достижен</w:t>
      </w:r>
      <w:r w:rsidR="00F73817" w:rsidRPr="00A5708C">
        <w:rPr>
          <w:rFonts w:ascii="Times New Roman" w:eastAsia="Times New Roman" w:hAnsi="Times New Roman" w:cs="Times New Roman"/>
          <w:kern w:val="1"/>
          <w:sz w:val="28"/>
          <w:szCs w:val="28"/>
        </w:rPr>
        <w:t xml:space="preserve">ия не более 10 баллов </w:t>
      </w:r>
      <w:proofErr w:type="gramStart"/>
      <w:r w:rsidR="00F73817" w:rsidRPr="00A5708C">
        <w:rPr>
          <w:rFonts w:ascii="Times New Roman" w:eastAsia="Times New Roman" w:hAnsi="Times New Roman" w:cs="Times New Roman"/>
          <w:kern w:val="1"/>
          <w:sz w:val="28"/>
          <w:szCs w:val="28"/>
        </w:rPr>
        <w:t>суммарно .</w:t>
      </w:r>
      <w:proofErr w:type="gramEnd"/>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 xml:space="preserve">При приеме на обучение по </w:t>
      </w:r>
      <w:r w:rsidRPr="00A5708C">
        <w:rPr>
          <w:rFonts w:ascii="Times New Roman" w:eastAsia="Times New Roman" w:hAnsi="Times New Roman" w:cs="Times New Roman"/>
          <w:i/>
          <w:iCs/>
          <w:kern w:val="1"/>
          <w:sz w:val="28"/>
          <w:szCs w:val="28"/>
          <w:u w:val="single"/>
        </w:rPr>
        <w:t>программам бакалавриата, программам специалитета</w:t>
      </w:r>
      <w:r w:rsidRPr="00A5708C">
        <w:rPr>
          <w:rFonts w:ascii="Times New Roman" w:eastAsia="Times New Roman" w:hAnsi="Times New Roman" w:cs="Times New Roman"/>
          <w:kern w:val="1"/>
          <w:sz w:val="28"/>
          <w:szCs w:val="28"/>
        </w:rPr>
        <w:t xml:space="preserve"> начисляет баллы за индивидуальные достижения:</w:t>
      </w:r>
    </w:p>
    <w:p w:rsidR="00CF6A82" w:rsidRPr="00A5708C" w:rsidRDefault="00CF6A82"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p>
    <w:tbl>
      <w:tblPr>
        <w:tblStyle w:val="a4"/>
        <w:tblW w:w="0" w:type="auto"/>
        <w:tblLook w:val="04A0" w:firstRow="1" w:lastRow="0" w:firstColumn="1" w:lastColumn="0" w:noHBand="0" w:noVBand="1"/>
      </w:tblPr>
      <w:tblGrid>
        <w:gridCol w:w="7650"/>
        <w:gridCol w:w="1695"/>
      </w:tblGrid>
      <w:tr w:rsidR="00CF6A82" w:rsidRPr="00A5708C" w:rsidTr="00F73817">
        <w:tc>
          <w:tcPr>
            <w:tcW w:w="7650" w:type="dxa"/>
          </w:tcPr>
          <w:p w:rsidR="00CF6A82" w:rsidRPr="00A5708C" w:rsidRDefault="00CF6A82" w:rsidP="00371E7B">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Индивидуальные достижения</w:t>
            </w:r>
          </w:p>
        </w:tc>
        <w:tc>
          <w:tcPr>
            <w:tcW w:w="1695" w:type="dxa"/>
            <w:vAlign w:val="center"/>
          </w:tcPr>
          <w:p w:rsidR="00CF6A82" w:rsidRPr="00A5708C" w:rsidRDefault="00CF6A82" w:rsidP="00F73817">
            <w:pPr>
              <w:widowControl w:val="0"/>
              <w:autoSpaceDE w:val="0"/>
              <w:autoSpaceDN w:val="0"/>
              <w:adjustRightInd w:val="0"/>
              <w:jc w:val="center"/>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Количество баллов</w:t>
            </w:r>
          </w:p>
        </w:tc>
      </w:tr>
      <w:tr w:rsidR="00CF6A82" w:rsidRPr="00A5708C" w:rsidTr="00F73817">
        <w:tc>
          <w:tcPr>
            <w:tcW w:w="7650" w:type="dxa"/>
          </w:tcPr>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1)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(далее - документы об образовании с отличием);</w:t>
            </w:r>
          </w:p>
        </w:tc>
        <w:tc>
          <w:tcPr>
            <w:tcW w:w="1695" w:type="dxa"/>
            <w:vAlign w:val="center"/>
          </w:tcPr>
          <w:p w:rsidR="00CF6A82" w:rsidRPr="00A5708C" w:rsidRDefault="00CF6A82" w:rsidP="00F73817">
            <w:pPr>
              <w:widowControl w:val="0"/>
              <w:autoSpaceDE w:val="0"/>
              <w:autoSpaceDN w:val="0"/>
              <w:adjustRightInd w:val="0"/>
              <w:jc w:val="center"/>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5</w:t>
            </w:r>
          </w:p>
        </w:tc>
      </w:tr>
      <w:tr w:rsidR="00CF6A82" w:rsidRPr="00A5708C" w:rsidTr="00F73817">
        <w:tc>
          <w:tcPr>
            <w:tcW w:w="7650" w:type="dxa"/>
          </w:tcPr>
          <w:p w:rsidR="00CF6A82" w:rsidRPr="00A5708C" w:rsidRDefault="00CF6A82" w:rsidP="00733127">
            <w:pPr>
              <w:pStyle w:val="ConsPlusNormal"/>
              <w:spacing w:before="20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 xml:space="preserve">2) участие и (или) результаты </w:t>
            </w:r>
            <w:proofErr w:type="spellStart"/>
            <w:r w:rsidRPr="00A5708C">
              <w:rPr>
                <w:rFonts w:ascii="Times New Roman" w:eastAsia="Times New Roman" w:hAnsi="Times New Roman" w:cs="Times New Roman"/>
                <w:kern w:val="1"/>
                <w:sz w:val="24"/>
                <w:szCs w:val="24"/>
              </w:rPr>
              <w:t>участия:в</w:t>
            </w:r>
            <w:proofErr w:type="spellEnd"/>
            <w:r w:rsidRPr="00A5708C">
              <w:rPr>
                <w:rFonts w:ascii="Times New Roman" w:eastAsia="Times New Roman" w:hAnsi="Times New Roman" w:cs="Times New Roman"/>
                <w:kern w:val="1"/>
                <w:sz w:val="24"/>
                <w:szCs w:val="24"/>
              </w:rPr>
              <w:t xml:space="preserve"> олимпиадах школьников, проводимых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&lt;16&gt; (далее - олимпиады школьников) (если результаты участия в олимпиадах школьников не используются для получения особых прав и (или) особого преимущества при поступлении на обучение по конкретным конкурсным группам);</w:t>
            </w:r>
          </w:p>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 xml:space="preserve">в иных интеллектуальных и (или) творческих конкурсах, физкультурных мероприятиях и спортивных мероприятиях, проводимых в соответствии с </w:t>
            </w:r>
            <w:hyperlink r:id="rId5" w:tooltip="Федеральный закон от 29.12.2012 N 273-ФЗ (ред. от 08.08.2024) &quot;Об образовании в Российской Федерации&quot; (с изм. и доп., вступ. в силу с 01.09.2024) {КонсультантПлюс}">
              <w:r w:rsidRPr="00A5708C">
                <w:rPr>
                  <w:rFonts w:ascii="Times New Roman" w:eastAsia="Times New Roman" w:hAnsi="Times New Roman" w:cs="Times New Roman"/>
                  <w:kern w:val="1"/>
                  <w:sz w:val="24"/>
                  <w:szCs w:val="24"/>
                </w:rPr>
                <w:t>частью 2 статьи 77</w:t>
              </w:r>
            </w:hyperlink>
            <w:r w:rsidRPr="00A5708C">
              <w:rPr>
                <w:rFonts w:ascii="Times New Roman" w:eastAsia="Times New Roman" w:hAnsi="Times New Roman" w:cs="Times New Roman"/>
                <w:kern w:val="1"/>
                <w:sz w:val="24"/>
                <w:szCs w:val="24"/>
              </w:rPr>
              <w:t xml:space="preserve"> Федерального закона N 273-ФЗ в целях выявления и поддержки лиц, проявивших выдающиеся способности</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t>5</w:t>
            </w:r>
          </w:p>
        </w:tc>
      </w:tr>
      <w:tr w:rsidR="00CF6A82" w:rsidRPr="00A5708C" w:rsidTr="00F73817">
        <w:tc>
          <w:tcPr>
            <w:tcW w:w="7650" w:type="dxa"/>
          </w:tcPr>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3) 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t>5</w:t>
            </w:r>
          </w:p>
        </w:tc>
      </w:tr>
      <w:tr w:rsidR="00CF6A82" w:rsidRPr="00A5708C" w:rsidTr="00F73817">
        <w:tc>
          <w:tcPr>
            <w:tcW w:w="7650" w:type="dxa"/>
          </w:tcPr>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 xml:space="preserve">4) пребывание в добровольческих формированиях в соответствии с контрактом о добровольном содействии в выполнении задач, </w:t>
            </w:r>
            <w:r w:rsidRPr="00A5708C">
              <w:rPr>
                <w:rFonts w:ascii="Times New Roman" w:eastAsia="Times New Roman" w:hAnsi="Times New Roman" w:cs="Times New Roman"/>
                <w:kern w:val="1"/>
                <w:sz w:val="24"/>
                <w:szCs w:val="24"/>
              </w:rPr>
              <w:lastRenderedPageBreak/>
              <w:t>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lastRenderedPageBreak/>
              <w:t>5</w:t>
            </w:r>
          </w:p>
        </w:tc>
      </w:tr>
      <w:tr w:rsidR="00CF6A82" w:rsidRPr="00A5708C" w:rsidTr="00F73817">
        <w:tc>
          <w:tcPr>
            <w:tcW w:w="7650" w:type="dxa"/>
          </w:tcPr>
          <w:p w:rsidR="00CF6A82" w:rsidRPr="00A5708C" w:rsidRDefault="00CF6A82" w:rsidP="00733127">
            <w:pPr>
              <w:pStyle w:val="ConsPlusNormal"/>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lastRenderedPageBreak/>
              <w:t xml:space="preserve">5)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w:t>
            </w:r>
            <w:hyperlink r:id="rId6" w:tooltip="Приказ Минспорта России от 14.01.2016 N 16 &quot;Об утверждении порядка награждения лиц, выполнивших нормативы испытаний (тестов) Всероссийского физкультурно-спортивного комплекса &quot;Готов к труду и обороне&quot; (ГТО), соответствующими знаками отличия Всероссийского физк">
              <w:r w:rsidRPr="00A5708C">
                <w:rPr>
                  <w:rFonts w:ascii="Times New Roman" w:eastAsia="Times New Roman" w:hAnsi="Times New Roman" w:cs="Times New Roman"/>
                  <w:kern w:val="1"/>
                  <w:sz w:val="24"/>
                  <w:szCs w:val="24"/>
                </w:rPr>
                <w:t>Порядком</w:t>
              </w:r>
            </w:hyperlink>
            <w:r w:rsidRPr="00A5708C">
              <w:rPr>
                <w:rFonts w:ascii="Times New Roman" w:eastAsia="Times New Roman" w:hAnsi="Times New Roman" w:cs="Times New Roman"/>
                <w:kern w:val="1"/>
                <w:sz w:val="24"/>
                <w:szCs w:val="24"/>
              </w:rPr>
              <w:t xml:space="preserve">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t>5</w:t>
            </w:r>
          </w:p>
        </w:tc>
      </w:tr>
      <w:tr w:rsidR="00CF6A82" w:rsidRPr="00A5708C" w:rsidTr="00F73817">
        <w:tc>
          <w:tcPr>
            <w:tcW w:w="7650" w:type="dxa"/>
          </w:tcPr>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6)</w:t>
            </w:r>
            <w:r w:rsidR="00733127" w:rsidRPr="00A5708C">
              <w:rPr>
                <w:rFonts w:ascii="Times New Roman" w:eastAsia="Times New Roman" w:hAnsi="Times New Roman" w:cs="Times New Roman"/>
                <w:kern w:val="1"/>
                <w:sz w:val="24"/>
                <w:szCs w:val="24"/>
              </w:rPr>
              <w:t xml:space="preserve"> </w:t>
            </w:r>
            <w:r w:rsidRPr="00A5708C">
              <w:rPr>
                <w:rFonts w:ascii="Times New Roman" w:eastAsia="Times New Roman" w:hAnsi="Times New Roman" w:cs="Times New Roman"/>
                <w:kern w:val="1"/>
                <w:sz w:val="24"/>
                <w:szCs w:val="24"/>
              </w:rPr>
              <w:t xml:space="preserve">иные спортивные достижения: наличие статуса чемпиона, призера Олимпийских игр, </w:t>
            </w:r>
            <w:proofErr w:type="spellStart"/>
            <w:r w:rsidRPr="00A5708C">
              <w:rPr>
                <w:rFonts w:ascii="Times New Roman" w:eastAsia="Times New Roman" w:hAnsi="Times New Roman" w:cs="Times New Roman"/>
                <w:kern w:val="1"/>
                <w:sz w:val="24"/>
                <w:szCs w:val="24"/>
              </w:rPr>
              <w:t>Паралимпийских</w:t>
            </w:r>
            <w:proofErr w:type="spellEnd"/>
            <w:r w:rsidRPr="00A5708C">
              <w:rPr>
                <w:rFonts w:ascii="Times New Roman" w:eastAsia="Times New Roman" w:hAnsi="Times New Roman" w:cs="Times New Roman"/>
                <w:kern w:val="1"/>
                <w:sz w:val="24"/>
                <w:szCs w:val="24"/>
              </w:rPr>
              <w:t xml:space="preserve"> игр и </w:t>
            </w:r>
            <w:proofErr w:type="spellStart"/>
            <w:r w:rsidRPr="00A5708C">
              <w:rPr>
                <w:rFonts w:ascii="Times New Roman" w:eastAsia="Times New Roman" w:hAnsi="Times New Roman" w:cs="Times New Roman"/>
                <w:kern w:val="1"/>
                <w:sz w:val="24"/>
                <w:szCs w:val="24"/>
              </w:rPr>
              <w:t>Сурдлимпийских</w:t>
            </w:r>
            <w:proofErr w:type="spellEnd"/>
            <w:r w:rsidRPr="00A5708C">
              <w:rPr>
                <w:rFonts w:ascii="Times New Roman" w:eastAsia="Times New Roman" w:hAnsi="Times New Roman" w:cs="Times New Roman"/>
                <w:kern w:val="1"/>
                <w:sz w:val="24"/>
                <w:szCs w:val="24"/>
              </w:rPr>
              <w:t xml:space="preserve"> игр;</w:t>
            </w:r>
          </w:p>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 xml:space="preserve">наличие статуса чемпиона мира, чемпиона Европы, чемпиона России, победителя кубка России по видам спорта, включенным в программы Олимпийских игр, </w:t>
            </w:r>
            <w:proofErr w:type="spellStart"/>
            <w:r w:rsidRPr="00A5708C">
              <w:rPr>
                <w:rFonts w:ascii="Times New Roman" w:eastAsia="Times New Roman" w:hAnsi="Times New Roman" w:cs="Times New Roman"/>
                <w:kern w:val="1"/>
                <w:sz w:val="24"/>
                <w:szCs w:val="24"/>
              </w:rPr>
              <w:t>Паралимпийских</w:t>
            </w:r>
            <w:proofErr w:type="spellEnd"/>
            <w:r w:rsidRPr="00A5708C">
              <w:rPr>
                <w:rFonts w:ascii="Times New Roman" w:eastAsia="Times New Roman" w:hAnsi="Times New Roman" w:cs="Times New Roman"/>
                <w:kern w:val="1"/>
                <w:sz w:val="24"/>
                <w:szCs w:val="24"/>
              </w:rPr>
              <w:t xml:space="preserve"> игр, </w:t>
            </w:r>
            <w:proofErr w:type="spellStart"/>
            <w:r w:rsidRPr="00A5708C">
              <w:rPr>
                <w:rFonts w:ascii="Times New Roman" w:eastAsia="Times New Roman" w:hAnsi="Times New Roman" w:cs="Times New Roman"/>
                <w:kern w:val="1"/>
                <w:sz w:val="24"/>
                <w:szCs w:val="24"/>
              </w:rPr>
              <w:t>Сурдлимпийских</w:t>
            </w:r>
            <w:proofErr w:type="spellEnd"/>
            <w:r w:rsidRPr="00A5708C">
              <w:rPr>
                <w:rFonts w:ascii="Times New Roman" w:eastAsia="Times New Roman" w:hAnsi="Times New Roman" w:cs="Times New Roman"/>
                <w:kern w:val="1"/>
                <w:sz w:val="24"/>
                <w:szCs w:val="24"/>
              </w:rPr>
              <w:t xml:space="preserve"> игр, лица, занявшего первое место на первенстве мира, первенстве Европы по видам спорта, включенным в программы Олимпийских игр, </w:t>
            </w:r>
            <w:proofErr w:type="spellStart"/>
            <w:r w:rsidRPr="00A5708C">
              <w:rPr>
                <w:rFonts w:ascii="Times New Roman" w:eastAsia="Times New Roman" w:hAnsi="Times New Roman" w:cs="Times New Roman"/>
                <w:kern w:val="1"/>
                <w:sz w:val="24"/>
                <w:szCs w:val="24"/>
              </w:rPr>
              <w:t>Паралимпийских</w:t>
            </w:r>
            <w:proofErr w:type="spellEnd"/>
            <w:r w:rsidRPr="00A5708C">
              <w:rPr>
                <w:rFonts w:ascii="Times New Roman" w:eastAsia="Times New Roman" w:hAnsi="Times New Roman" w:cs="Times New Roman"/>
                <w:kern w:val="1"/>
                <w:sz w:val="24"/>
                <w:szCs w:val="24"/>
              </w:rPr>
              <w:t xml:space="preserve"> игр и </w:t>
            </w:r>
            <w:proofErr w:type="spellStart"/>
            <w:r w:rsidRPr="00A5708C">
              <w:rPr>
                <w:rFonts w:ascii="Times New Roman" w:eastAsia="Times New Roman" w:hAnsi="Times New Roman" w:cs="Times New Roman"/>
                <w:kern w:val="1"/>
                <w:sz w:val="24"/>
                <w:szCs w:val="24"/>
              </w:rPr>
              <w:t>Сурдлимпийских</w:t>
            </w:r>
            <w:proofErr w:type="spellEnd"/>
            <w:r w:rsidRPr="00A5708C">
              <w:rPr>
                <w:rFonts w:ascii="Times New Roman" w:eastAsia="Times New Roman" w:hAnsi="Times New Roman" w:cs="Times New Roman"/>
                <w:kern w:val="1"/>
                <w:sz w:val="24"/>
                <w:szCs w:val="24"/>
              </w:rPr>
              <w:t xml:space="preserve"> игр; </w:t>
            </w:r>
          </w:p>
          <w:p w:rsidR="00CF6A82" w:rsidRPr="00A5708C" w:rsidRDefault="00CF6A82" w:rsidP="00733127">
            <w:pPr>
              <w:pStyle w:val="ConsPlusNormal"/>
              <w:tabs>
                <w:tab w:val="left" w:pos="1875"/>
              </w:tabs>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 xml:space="preserve">наличие статуса чемпиона мира, чемпиона Европы, победителя первенства мира, первенства Европы по видам </w:t>
            </w:r>
            <w:proofErr w:type="spellStart"/>
            <w:r w:rsidRPr="00A5708C">
              <w:rPr>
                <w:rFonts w:ascii="Times New Roman" w:eastAsia="Times New Roman" w:hAnsi="Times New Roman" w:cs="Times New Roman"/>
                <w:kern w:val="1"/>
                <w:sz w:val="24"/>
                <w:szCs w:val="24"/>
              </w:rPr>
              <w:t>спрорта</w:t>
            </w:r>
            <w:proofErr w:type="spellEnd"/>
            <w:r w:rsidRPr="00A5708C">
              <w:rPr>
                <w:rFonts w:ascii="Times New Roman" w:eastAsia="Times New Roman" w:hAnsi="Times New Roman" w:cs="Times New Roman"/>
                <w:kern w:val="1"/>
                <w:sz w:val="24"/>
                <w:szCs w:val="24"/>
              </w:rPr>
              <w:t xml:space="preserve">, не включенным в программы Олимпийских игр, </w:t>
            </w:r>
            <w:proofErr w:type="spellStart"/>
            <w:r w:rsidRPr="00A5708C">
              <w:rPr>
                <w:rFonts w:ascii="Times New Roman" w:eastAsia="Times New Roman" w:hAnsi="Times New Roman" w:cs="Times New Roman"/>
                <w:kern w:val="1"/>
                <w:sz w:val="24"/>
                <w:szCs w:val="24"/>
              </w:rPr>
              <w:t>Паралимпийских</w:t>
            </w:r>
            <w:proofErr w:type="spellEnd"/>
            <w:r w:rsidRPr="00A5708C">
              <w:rPr>
                <w:rFonts w:ascii="Times New Roman" w:eastAsia="Times New Roman" w:hAnsi="Times New Roman" w:cs="Times New Roman"/>
                <w:kern w:val="1"/>
                <w:sz w:val="24"/>
                <w:szCs w:val="24"/>
              </w:rPr>
              <w:t xml:space="preserve"> игр и </w:t>
            </w:r>
            <w:proofErr w:type="spellStart"/>
            <w:r w:rsidRPr="00A5708C">
              <w:rPr>
                <w:rFonts w:ascii="Times New Roman" w:eastAsia="Times New Roman" w:hAnsi="Times New Roman" w:cs="Times New Roman"/>
                <w:kern w:val="1"/>
                <w:sz w:val="24"/>
                <w:szCs w:val="24"/>
              </w:rPr>
              <w:t>Сурдлимпийских</w:t>
            </w:r>
            <w:proofErr w:type="spellEnd"/>
            <w:r w:rsidRPr="00A5708C">
              <w:rPr>
                <w:rFonts w:ascii="Times New Roman" w:eastAsia="Times New Roman" w:hAnsi="Times New Roman" w:cs="Times New Roman"/>
                <w:kern w:val="1"/>
                <w:sz w:val="24"/>
                <w:szCs w:val="24"/>
              </w:rPr>
              <w:t xml:space="preserve"> игр,</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t>5</w:t>
            </w:r>
          </w:p>
        </w:tc>
      </w:tr>
      <w:tr w:rsidR="00CF6A82" w:rsidRPr="00A5708C" w:rsidTr="00F73817">
        <w:tc>
          <w:tcPr>
            <w:tcW w:w="7650" w:type="dxa"/>
          </w:tcPr>
          <w:p w:rsidR="00CF6A82" w:rsidRPr="00A5708C" w:rsidRDefault="00CF6A82" w:rsidP="00733127">
            <w:pPr>
              <w:pStyle w:val="ConsPlusNormal"/>
              <w:spacing w:before="20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7) наличие дополнительного образования по дополнительным общеобразовательным п</w:t>
            </w:r>
            <w:bookmarkStart w:id="0" w:name="_GoBack"/>
            <w:bookmarkEnd w:id="0"/>
            <w:r w:rsidRPr="00A5708C">
              <w:rPr>
                <w:rFonts w:ascii="Times New Roman" w:eastAsia="Times New Roman" w:hAnsi="Times New Roman" w:cs="Times New Roman"/>
                <w:kern w:val="1"/>
                <w:sz w:val="24"/>
                <w:szCs w:val="24"/>
              </w:rPr>
              <w:t>рограммам, соответствующим конкурсному профилю ( АГРОКЛАССЫ)</w:t>
            </w:r>
          </w:p>
        </w:tc>
        <w:tc>
          <w:tcPr>
            <w:tcW w:w="1695" w:type="dxa"/>
            <w:vAlign w:val="center"/>
          </w:tcPr>
          <w:p w:rsidR="00CF6A82" w:rsidRPr="00A5708C" w:rsidRDefault="00373ADD" w:rsidP="00F73817">
            <w:pPr>
              <w:jc w:val="center"/>
              <w:rPr>
                <w:rFonts w:ascii="Times New Roman" w:hAnsi="Times New Roman" w:cs="Times New Roman"/>
                <w:sz w:val="24"/>
                <w:szCs w:val="24"/>
              </w:rPr>
            </w:pPr>
            <w:r>
              <w:rPr>
                <w:rFonts w:ascii="Times New Roman" w:eastAsia="Times New Roman" w:hAnsi="Times New Roman" w:cs="Times New Roman"/>
                <w:kern w:val="1"/>
                <w:sz w:val="24"/>
                <w:szCs w:val="24"/>
              </w:rPr>
              <w:t>10</w:t>
            </w:r>
          </w:p>
        </w:tc>
      </w:tr>
      <w:tr w:rsidR="00CF6A82" w:rsidRPr="00A5708C" w:rsidTr="00F73817">
        <w:tc>
          <w:tcPr>
            <w:tcW w:w="7650" w:type="dxa"/>
          </w:tcPr>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8) волонтерская (добровольческая) деятельность, содержание и сроки осуществления которой соответствуют критериям, установленным организацией</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t>5</w:t>
            </w:r>
          </w:p>
        </w:tc>
      </w:tr>
      <w:tr w:rsidR="00CF6A82" w:rsidRPr="00A5708C" w:rsidTr="00F73817">
        <w:tc>
          <w:tcPr>
            <w:tcW w:w="7650" w:type="dxa"/>
          </w:tcPr>
          <w:p w:rsidR="00CF6A82" w:rsidRPr="00A5708C" w:rsidRDefault="00CF6A82" w:rsidP="00733127">
            <w:pPr>
              <w:widowControl w:val="0"/>
              <w:autoSpaceDE w:val="0"/>
              <w:autoSpaceDN w:val="0"/>
              <w:adjustRightInd w:val="0"/>
              <w:jc w:val="both"/>
              <w:rPr>
                <w:rFonts w:ascii="Times New Roman" w:eastAsia="Times New Roman" w:hAnsi="Times New Roman" w:cs="Times New Roman"/>
                <w:kern w:val="1"/>
                <w:sz w:val="24"/>
                <w:szCs w:val="24"/>
              </w:rPr>
            </w:pPr>
            <w:r w:rsidRPr="00A5708C">
              <w:rPr>
                <w:rFonts w:ascii="Times New Roman" w:eastAsia="Times New Roman" w:hAnsi="Times New Roman" w:cs="Times New Roman"/>
                <w:kern w:val="1"/>
                <w:sz w:val="24"/>
                <w:szCs w:val="24"/>
              </w:rPr>
              <w:t>9)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A5708C">
              <w:rPr>
                <w:rFonts w:ascii="Times New Roman" w:eastAsia="Times New Roman" w:hAnsi="Times New Roman" w:cs="Times New Roman"/>
                <w:kern w:val="1"/>
                <w:sz w:val="24"/>
                <w:szCs w:val="24"/>
              </w:rPr>
              <w:t>Абилимпикс</w:t>
            </w:r>
            <w:proofErr w:type="spellEnd"/>
            <w:r w:rsidRPr="00A5708C">
              <w:rPr>
                <w:rFonts w:ascii="Times New Roman" w:eastAsia="Times New Roman" w:hAnsi="Times New Roman" w:cs="Times New Roman"/>
                <w:kern w:val="1"/>
                <w:sz w:val="24"/>
                <w:szCs w:val="24"/>
              </w:rPr>
              <w:t>"</w:t>
            </w:r>
          </w:p>
        </w:tc>
        <w:tc>
          <w:tcPr>
            <w:tcW w:w="1695" w:type="dxa"/>
            <w:vAlign w:val="center"/>
          </w:tcPr>
          <w:p w:rsidR="00CF6A82" w:rsidRPr="00A5708C" w:rsidRDefault="00CF6A82" w:rsidP="00F73817">
            <w:pPr>
              <w:jc w:val="center"/>
              <w:rPr>
                <w:rFonts w:ascii="Times New Roman" w:hAnsi="Times New Roman" w:cs="Times New Roman"/>
                <w:sz w:val="24"/>
                <w:szCs w:val="24"/>
              </w:rPr>
            </w:pPr>
            <w:r w:rsidRPr="00A5708C">
              <w:rPr>
                <w:rFonts w:ascii="Times New Roman" w:eastAsia="Times New Roman" w:hAnsi="Times New Roman" w:cs="Times New Roman"/>
                <w:kern w:val="1"/>
                <w:sz w:val="24"/>
                <w:szCs w:val="24"/>
              </w:rPr>
              <w:t>5</w:t>
            </w:r>
          </w:p>
        </w:tc>
      </w:tr>
    </w:tbl>
    <w:p w:rsidR="00CF6A82" w:rsidRPr="00A5708C" w:rsidRDefault="00CF6A82"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p>
    <w:p w:rsidR="00CF6A82" w:rsidRPr="00A5708C" w:rsidRDefault="00CF6A82"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p>
    <w:p w:rsidR="00F73817" w:rsidRPr="00A5708C" w:rsidRDefault="00F73817">
      <w:pPr>
        <w:spacing w:after="160" w:line="259" w:lineRule="auto"/>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br w:type="page"/>
      </w:r>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lastRenderedPageBreak/>
        <w:t xml:space="preserve">При приеме на обучение по </w:t>
      </w:r>
      <w:r w:rsidRPr="00A5708C">
        <w:rPr>
          <w:rFonts w:ascii="Times New Roman" w:eastAsia="Times New Roman" w:hAnsi="Times New Roman" w:cs="Times New Roman"/>
          <w:i/>
          <w:iCs/>
          <w:kern w:val="1"/>
          <w:sz w:val="28"/>
          <w:szCs w:val="28"/>
          <w:u w:val="single"/>
        </w:rPr>
        <w:t>программам магистратуры</w:t>
      </w:r>
      <w:r w:rsidRPr="00A5708C">
        <w:rPr>
          <w:rFonts w:ascii="Times New Roman" w:eastAsia="Times New Roman" w:hAnsi="Times New Roman" w:cs="Times New Roman"/>
          <w:kern w:val="1"/>
          <w:sz w:val="28"/>
          <w:szCs w:val="28"/>
        </w:rPr>
        <w:t xml:space="preserve"> начисляет баллы за индивидуальные достижения:</w:t>
      </w:r>
    </w:p>
    <w:p w:rsidR="00371E7B" w:rsidRPr="00A5708C" w:rsidRDefault="00371E7B" w:rsidP="00371E7B">
      <w:pPr>
        <w:widowControl w:val="0"/>
        <w:autoSpaceDE w:val="0"/>
        <w:autoSpaceDN w:val="0"/>
        <w:adjustRightInd w:val="0"/>
        <w:ind w:firstLine="567"/>
        <w:jc w:val="both"/>
        <w:rPr>
          <w:rFonts w:ascii="Times New Roman" w:eastAsia="Times New Roman" w:hAnsi="Times New Roman" w:cs="Times New Roman"/>
          <w:kern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8"/>
        <w:gridCol w:w="1697"/>
      </w:tblGrid>
      <w:tr w:rsidR="00371E7B" w:rsidRPr="00A5708C" w:rsidTr="00F73817">
        <w:trPr>
          <w:trHeight w:val="446"/>
        </w:trPr>
        <w:tc>
          <w:tcPr>
            <w:tcW w:w="4136" w:type="pct"/>
            <w:tcMar>
              <w:top w:w="100" w:type="nil"/>
              <w:right w:w="100" w:type="nil"/>
            </w:tcMar>
          </w:tcPr>
          <w:p w:rsidR="00371E7B" w:rsidRPr="00A5708C" w:rsidRDefault="00371E7B" w:rsidP="00176B79">
            <w:pPr>
              <w:widowControl w:val="0"/>
              <w:autoSpaceDE w:val="0"/>
              <w:autoSpaceDN w:val="0"/>
              <w:adjustRightInd w:val="0"/>
              <w:jc w:val="center"/>
              <w:rPr>
                <w:rFonts w:ascii="Times New Roman" w:eastAsia="Times New Roman" w:hAnsi="Times New Roman" w:cs="Times New Roman"/>
                <w:b/>
                <w:bCs/>
                <w:kern w:val="1"/>
                <w:sz w:val="28"/>
                <w:szCs w:val="28"/>
              </w:rPr>
            </w:pPr>
            <w:r w:rsidRPr="00A5708C">
              <w:rPr>
                <w:rFonts w:ascii="Times New Roman" w:eastAsia="Times New Roman" w:hAnsi="Times New Roman" w:cs="Times New Roman"/>
                <w:b/>
                <w:bCs/>
                <w:kern w:val="1"/>
                <w:sz w:val="28"/>
                <w:szCs w:val="28"/>
              </w:rPr>
              <w:t>Индивидуальное достижение</w:t>
            </w:r>
          </w:p>
        </w:tc>
        <w:tc>
          <w:tcPr>
            <w:tcW w:w="864" w:type="pct"/>
            <w:tcMar>
              <w:top w:w="100" w:type="nil"/>
              <w:right w:w="100" w:type="nil"/>
            </w:tcMar>
          </w:tcPr>
          <w:p w:rsidR="00371E7B" w:rsidRPr="00A5708C" w:rsidRDefault="00371E7B" w:rsidP="00176B79">
            <w:pPr>
              <w:widowControl w:val="0"/>
              <w:autoSpaceDE w:val="0"/>
              <w:autoSpaceDN w:val="0"/>
              <w:adjustRightInd w:val="0"/>
              <w:jc w:val="center"/>
              <w:rPr>
                <w:rFonts w:ascii="Times New Roman" w:eastAsia="Times New Roman" w:hAnsi="Times New Roman" w:cs="Times New Roman"/>
                <w:b/>
                <w:bCs/>
                <w:kern w:val="1"/>
                <w:sz w:val="28"/>
                <w:szCs w:val="28"/>
              </w:rPr>
            </w:pPr>
            <w:r w:rsidRPr="00A5708C">
              <w:rPr>
                <w:rFonts w:ascii="Times New Roman" w:eastAsia="Times New Roman" w:hAnsi="Times New Roman" w:cs="Times New Roman"/>
                <w:b/>
                <w:bCs/>
                <w:kern w:val="1"/>
                <w:sz w:val="28"/>
                <w:szCs w:val="28"/>
              </w:rPr>
              <w:t>Количество баллов</w:t>
            </w:r>
          </w:p>
        </w:tc>
      </w:tr>
      <w:tr w:rsidR="00371E7B" w:rsidRPr="00A5708C" w:rsidTr="00F73817">
        <w:tc>
          <w:tcPr>
            <w:tcW w:w="4136" w:type="pct"/>
            <w:tcMar>
              <w:top w:w="100" w:type="nil"/>
              <w:right w:w="100" w:type="nil"/>
            </w:tcMar>
          </w:tcPr>
          <w:p w:rsidR="00371E7B" w:rsidRPr="00A5708C" w:rsidRDefault="00371E7B" w:rsidP="00371E7B">
            <w:pPr>
              <w:pStyle w:val="a3"/>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1"/>
                <w:sz w:val="28"/>
                <w:szCs w:val="28"/>
                <w:lang w:eastAsia="ru-RU"/>
              </w:rPr>
            </w:pPr>
            <w:r w:rsidRPr="00A5708C">
              <w:rPr>
                <w:rFonts w:ascii="Times New Roman" w:eastAsia="Times New Roman" w:hAnsi="Times New Roman" w:cs="Times New Roman"/>
                <w:kern w:val="1"/>
                <w:sz w:val="28"/>
                <w:szCs w:val="28"/>
                <w:lang w:eastAsia="ru-RU"/>
              </w:rPr>
              <w:t>Диплом о предыдущем уровне высшего образования с отличием</w:t>
            </w:r>
          </w:p>
        </w:tc>
        <w:tc>
          <w:tcPr>
            <w:tcW w:w="864" w:type="pct"/>
            <w:tcMar>
              <w:top w:w="100" w:type="nil"/>
              <w:right w:w="100" w:type="nil"/>
            </w:tcMar>
            <w:vAlign w:val="center"/>
          </w:tcPr>
          <w:p w:rsidR="00371E7B" w:rsidRPr="00A5708C" w:rsidRDefault="00371E7B" w:rsidP="00176B79">
            <w:pPr>
              <w:widowControl w:val="0"/>
              <w:autoSpaceDE w:val="0"/>
              <w:autoSpaceDN w:val="0"/>
              <w:adjustRightInd w:val="0"/>
              <w:jc w:val="center"/>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5</w:t>
            </w:r>
          </w:p>
        </w:tc>
      </w:tr>
      <w:tr w:rsidR="00371E7B" w:rsidRPr="00A5708C" w:rsidTr="00F73817">
        <w:tc>
          <w:tcPr>
            <w:tcW w:w="4136" w:type="pct"/>
            <w:tcMar>
              <w:top w:w="100" w:type="nil"/>
              <w:right w:w="100" w:type="nil"/>
            </w:tcMar>
          </w:tcPr>
          <w:p w:rsidR="00371E7B" w:rsidRPr="00A5708C" w:rsidRDefault="00371E7B" w:rsidP="00371E7B">
            <w:pPr>
              <w:pStyle w:val="a3"/>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1"/>
                <w:sz w:val="28"/>
                <w:szCs w:val="28"/>
                <w:lang w:eastAsia="ru-RU"/>
              </w:rPr>
            </w:pPr>
            <w:r w:rsidRPr="00A5708C">
              <w:rPr>
                <w:rFonts w:ascii="Times New Roman" w:eastAsia="Times New Roman" w:hAnsi="Times New Roman" w:cs="Times New Roman"/>
                <w:kern w:val="1"/>
                <w:sz w:val="28"/>
                <w:szCs w:val="28"/>
                <w:lang w:eastAsia="ru-RU"/>
              </w:rPr>
              <w:t>Наличие научных публикаций в открытой печати</w:t>
            </w:r>
          </w:p>
        </w:tc>
        <w:tc>
          <w:tcPr>
            <w:tcW w:w="864" w:type="pct"/>
            <w:tcMar>
              <w:top w:w="100" w:type="nil"/>
              <w:right w:w="100" w:type="nil"/>
            </w:tcMar>
            <w:vAlign w:val="center"/>
          </w:tcPr>
          <w:p w:rsidR="00371E7B" w:rsidRPr="00A5708C" w:rsidRDefault="00371E7B" w:rsidP="00176B79">
            <w:pPr>
              <w:widowControl w:val="0"/>
              <w:autoSpaceDE w:val="0"/>
              <w:autoSpaceDN w:val="0"/>
              <w:adjustRightInd w:val="0"/>
              <w:jc w:val="center"/>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5</w:t>
            </w:r>
          </w:p>
        </w:tc>
      </w:tr>
    </w:tbl>
    <w:p w:rsidR="00371E7B" w:rsidRPr="00A5708C" w:rsidRDefault="00371E7B" w:rsidP="00371E7B">
      <w:pPr>
        <w:widowControl w:val="0"/>
        <w:tabs>
          <w:tab w:val="left" w:pos="709"/>
        </w:tabs>
        <w:autoSpaceDE w:val="0"/>
        <w:autoSpaceDN w:val="0"/>
        <w:adjustRightInd w:val="0"/>
        <w:jc w:val="both"/>
        <w:rPr>
          <w:rFonts w:ascii="Times New Roman" w:eastAsia="Times New Roman" w:hAnsi="Times New Roman" w:cs="Times New Roman"/>
          <w:kern w:val="1"/>
          <w:sz w:val="28"/>
          <w:szCs w:val="28"/>
        </w:rPr>
      </w:pPr>
    </w:p>
    <w:p w:rsidR="00371E7B" w:rsidRPr="00A5708C" w:rsidRDefault="00371E7B" w:rsidP="00371E7B">
      <w:pPr>
        <w:widowControl w:val="0"/>
        <w:tabs>
          <w:tab w:val="left" w:pos="709"/>
        </w:tabs>
        <w:autoSpaceDE w:val="0"/>
        <w:autoSpaceDN w:val="0"/>
        <w:adjustRightInd w:val="0"/>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ab/>
        <w:t>При приеме на обучение по программам бакалавриата, программам специалитета, программам магистратуры поступающему может быть начислено за индивидуальные достижения не более 10 баллов суммарно.</w:t>
      </w:r>
    </w:p>
    <w:p w:rsidR="00371E7B" w:rsidRPr="00A5708C" w:rsidRDefault="00371E7B" w:rsidP="00371E7B">
      <w:pPr>
        <w:widowControl w:val="0"/>
        <w:tabs>
          <w:tab w:val="left" w:pos="1134"/>
        </w:tabs>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Перечень индивидуальных достижений, учитываемых при приеме на обучение по программам бакалавриата, программам специалитета и программам магистратуры при равенстве суммы конкурсных баллов аналогичен перечню индивидуальных достижений.</w:t>
      </w:r>
    </w:p>
    <w:p w:rsidR="00371E7B" w:rsidRPr="00A5708C" w:rsidRDefault="00371E7B" w:rsidP="00371E7B">
      <w:pPr>
        <w:widowControl w:val="0"/>
        <w:tabs>
          <w:tab w:val="left" w:pos="1134"/>
        </w:tabs>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При ранжировании конкурсных списков поступающих с учетом индивидуальных достижений приемная комиссия руководствуется следующим:</w:t>
      </w:r>
    </w:p>
    <w:p w:rsidR="00371E7B" w:rsidRPr="00A5708C" w:rsidRDefault="00371E7B" w:rsidP="00371E7B">
      <w:pPr>
        <w:widowControl w:val="0"/>
        <w:tabs>
          <w:tab w:val="left" w:pos="1134"/>
        </w:tabs>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1) преимущество имеют поступающие, получившие дополнительные баллы за участие в мероприятиях более высокого уровня;</w:t>
      </w:r>
    </w:p>
    <w:p w:rsidR="00371E7B" w:rsidRPr="00A5708C" w:rsidRDefault="00371E7B" w:rsidP="00371E7B">
      <w:pPr>
        <w:widowControl w:val="0"/>
        <w:tabs>
          <w:tab w:val="left" w:pos="1134"/>
        </w:tabs>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2) преимущество имеют поступающие, имеющие большее количество индивидуальных достижений, указанных выше.</w:t>
      </w:r>
    </w:p>
    <w:p w:rsidR="00371E7B" w:rsidRPr="00A5708C" w:rsidRDefault="00371E7B" w:rsidP="00371E7B">
      <w:pPr>
        <w:widowControl w:val="0"/>
        <w:tabs>
          <w:tab w:val="left" w:pos="1134"/>
        </w:tabs>
        <w:autoSpaceDE w:val="0"/>
        <w:autoSpaceDN w:val="0"/>
        <w:adjustRightInd w:val="0"/>
        <w:ind w:firstLine="567"/>
        <w:jc w:val="both"/>
        <w:rPr>
          <w:rFonts w:ascii="Times New Roman" w:eastAsia="Times New Roman" w:hAnsi="Times New Roman" w:cs="Times New Roman"/>
          <w:kern w:val="1"/>
          <w:sz w:val="28"/>
          <w:szCs w:val="28"/>
        </w:rPr>
      </w:pPr>
      <w:r w:rsidRPr="00A5708C">
        <w:rPr>
          <w:rFonts w:ascii="Times New Roman" w:eastAsia="Times New Roman" w:hAnsi="Times New Roman" w:cs="Times New Roman"/>
          <w:kern w:val="1"/>
          <w:sz w:val="28"/>
          <w:szCs w:val="28"/>
        </w:rPr>
        <w:t>3) преимущество имеют поступающие, имеющие более высокий средний балл документа о высшем образовании предыдущего уровня (для поступающих на программы магистратуры).</w:t>
      </w:r>
    </w:p>
    <w:p w:rsidR="00371E7B" w:rsidRPr="00A5708C" w:rsidRDefault="00371E7B" w:rsidP="00371E7B">
      <w:pPr>
        <w:ind w:firstLine="709"/>
        <w:jc w:val="both"/>
        <w:rPr>
          <w:rFonts w:ascii="Times New Roman" w:eastAsia="Times New Roman" w:hAnsi="Times New Roman" w:cs="Times New Roman"/>
          <w:sz w:val="28"/>
          <w:szCs w:val="28"/>
        </w:rPr>
      </w:pPr>
    </w:p>
    <w:p w:rsidR="00697F58" w:rsidRPr="00A5708C" w:rsidRDefault="00697F58">
      <w:pPr>
        <w:rPr>
          <w:rFonts w:ascii="Times New Roman" w:hAnsi="Times New Roman" w:cs="Times New Roman"/>
          <w:sz w:val="28"/>
          <w:szCs w:val="28"/>
        </w:rPr>
      </w:pPr>
    </w:p>
    <w:sectPr w:rsidR="00697F58" w:rsidRPr="00A57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D27B8"/>
    <w:multiLevelType w:val="hybridMultilevel"/>
    <w:tmpl w:val="0734A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58"/>
    <w:rsid w:val="00371E7B"/>
    <w:rsid w:val="00373ADD"/>
    <w:rsid w:val="003B2458"/>
    <w:rsid w:val="00697F58"/>
    <w:rsid w:val="00733127"/>
    <w:rsid w:val="00A5708C"/>
    <w:rsid w:val="00CF6A82"/>
    <w:rsid w:val="00F73817"/>
    <w:rsid w:val="00FE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39F4"/>
  <w15:chartTrackingRefBased/>
  <w15:docId w15:val="{E34C1435-B7A5-40F1-A4C7-B14E495D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E7B"/>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E7B"/>
    <w:pPr>
      <w:spacing w:after="160" w:line="259" w:lineRule="auto"/>
      <w:ind w:left="720"/>
      <w:contextualSpacing/>
    </w:pPr>
    <w:rPr>
      <w:rFonts w:eastAsiaTheme="minorHAnsi"/>
      <w:lang w:eastAsia="en-US"/>
    </w:rPr>
  </w:style>
  <w:style w:type="paragraph" w:customStyle="1" w:styleId="ConsPlusNormal">
    <w:name w:val="ConsPlusNormal"/>
    <w:rsid w:val="00371E7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E5EB2"/>
    <w:pPr>
      <w:widowControl w:val="0"/>
      <w:autoSpaceDE w:val="0"/>
      <w:autoSpaceDN w:val="0"/>
      <w:spacing w:after="0" w:line="240" w:lineRule="auto"/>
    </w:pPr>
    <w:rPr>
      <w:rFonts w:ascii="Courier New" w:eastAsiaTheme="minorEastAsia" w:hAnsi="Courier New" w:cs="Courier New"/>
      <w:sz w:val="20"/>
      <w:lang w:eastAsia="ru-RU"/>
    </w:rPr>
  </w:style>
  <w:style w:type="table" w:styleId="a4">
    <w:name w:val="Table Grid"/>
    <w:basedOn w:val="a1"/>
    <w:uiPriority w:val="39"/>
    <w:rsid w:val="00CF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194668&amp;dst=100011" TargetMode="External"/><Relationship Id="rId5" Type="http://schemas.openxmlformats.org/officeDocument/2006/relationships/hyperlink" Target="https://login.consultant.ru/link/?req=doc&amp;base=LAW&amp;n=470336&amp;dst=101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2025-02-19T10:51:00Z</cp:lastPrinted>
  <dcterms:created xsi:type="dcterms:W3CDTF">2025-02-14T09:13:00Z</dcterms:created>
  <dcterms:modified xsi:type="dcterms:W3CDTF">2025-04-23T10:48:00Z</dcterms:modified>
</cp:coreProperties>
</file>